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5E" w:rsidRDefault="0045205E" w:rsidP="0045205E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45205E" w:rsidRDefault="0045205E" w:rsidP="0045205E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5/2017 ze dne </w:t>
      </w:r>
      <w:proofErr w:type="gramStart"/>
      <w:r>
        <w:rPr>
          <w:b/>
          <w:u w:val="single"/>
        </w:rPr>
        <w:t>1.3.2017</w:t>
      </w:r>
      <w:proofErr w:type="gramEnd"/>
    </w:p>
    <w:p w:rsidR="0045205E" w:rsidRDefault="0045205E" w:rsidP="0045205E">
      <w:pPr>
        <w:rPr>
          <w:b/>
          <w:u w:val="single"/>
        </w:rPr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  <w:rPr>
          <w:sz w:val="24"/>
          <w:szCs w:val="24"/>
        </w:rPr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numPr>
          <w:ilvl w:val="0"/>
          <w:numId w:val="1"/>
        </w:numPr>
        <w:spacing w:after="0" w:line="240" w:lineRule="auto"/>
        <w:jc w:val="both"/>
      </w:pPr>
      <w:r>
        <w:t>Rada obce schvaluje smlouvu o dílo na Dotační management akce Analýza rizik kontaminovaného území – Žabčice, stará skládka Obec Žabčice – DEA Energetická agentura, s.r.o</w:t>
      </w: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  <w:r>
        <w:t xml:space="preserve">V Žabčicích dne </w:t>
      </w:r>
      <w:proofErr w:type="gramStart"/>
      <w:r>
        <w:t>1.3.2017</w:t>
      </w:r>
      <w:proofErr w:type="gramEnd"/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  <w:bookmarkStart w:id="0" w:name="_GoBack"/>
      <w:bookmarkEnd w:id="0"/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jc w:val="both"/>
      </w:pPr>
    </w:p>
    <w:p w:rsidR="0045205E" w:rsidRDefault="0045205E" w:rsidP="0045205E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45205E" w:rsidRDefault="0045205E" w:rsidP="0045205E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45205E" w:rsidRDefault="0045205E" w:rsidP="0045205E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6942D3" w:rsidRDefault="006942D3" w:rsidP="0045205E">
      <w:pPr>
        <w:pStyle w:val="Bezmezer"/>
      </w:pPr>
    </w:p>
    <w:sectPr w:rsidR="00694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15D03"/>
    <w:multiLevelType w:val="hybridMultilevel"/>
    <w:tmpl w:val="293076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05E"/>
    <w:rsid w:val="0045205E"/>
    <w:rsid w:val="0069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49924-34FB-4B7C-918F-F505A085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5205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3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2017-03-02T09:25:00Z</dcterms:created>
  <dcterms:modified xsi:type="dcterms:W3CDTF">2017-03-02T09:26:00Z</dcterms:modified>
</cp:coreProperties>
</file>